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43607" w:rsidRDefault="00D4587E" w:rsidP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21.07.2021 г.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43607" w:rsidRDefault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Филиал ПАО «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Россети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Северный Кавказ»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-«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Дагэнерго»;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43607" w:rsidRDefault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ПАО «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Россети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Северный Кавказ»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43607" w:rsidRDefault="00D4587E" w:rsidP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пгт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Дубки,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Казбековский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район, Республика Дагестан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43607" w:rsidRDefault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Отключение объектов электросетевого хозяйства (высший класс напряжения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выше), генерирующего оборудования мощностью 100 МВт и более на 2 и более объектах электроэнергетики, вызвавшее прекращение электроснабжения потребителей электрической энергии, суммарная мощность потребления которых составляет 100 МВт и более, продолжительностью 30 минут и более.</w:t>
            </w:r>
            <w:r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 Неправильные действия защитных устройств и (или) систем автоматики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1B58" w:rsidRPr="00643607" w:rsidRDefault="006F66CE" w:rsidP="00761B58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21 июля 2021 г. на ПС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находящейся </w:t>
            </w: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 xml:space="preserve">по адресу: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пгт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Дубки,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Казбековский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район, Республика Дагестан,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произошло однофазное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КЗ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, обусловленном перекрытием изоляции ввода фазы «В» ОВ-110 со стороны системы шин, с его последующим разрушением, выбросом масла, возгоранием</w:t>
            </w:r>
            <w:r w:rsidR="00761B5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963E95" w:rsidRPr="00643607" w:rsidRDefault="00963E95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607" w:rsidRPr="00643607" w:rsidRDefault="00643607" w:rsidP="0064360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Схемно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обесточены 12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proofErr w:type="gram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: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Куруш,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Сулевкент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Бабаюрт,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Речная,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Александрия,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Кизляр-2,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Львовская,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Кизляр-1,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Калиновка, 2-СШ-110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Кочубей.</w:t>
            </w:r>
          </w:p>
          <w:p w:rsidR="00761B58" w:rsidRPr="00643607" w:rsidRDefault="00643607" w:rsidP="00643607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Схемно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отключились 15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: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 -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Карланюрт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-Тяговая (ВЛ-110-136),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-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Ойсунгур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(Л-128),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 - Гудермес-Тяговая (Л-149),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 - Куруш (ВЛ-110-139),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 - Кизляр-2 с отпайками (ВЛ-110-140),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 -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(ВЛ-110-132),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Бабаюрт-Львовская (Л-168),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Бабаюрт - Кизляр-1(ВЛ-110-109),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Кизляр-1 -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Каргалиновская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(Л-148),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Кизляр-2-Александрия (Л-147),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Кизляр-2 - Тарумовка с отпайкой на ПС Калиновка (ВЛ-110-114),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Кизляр-2 - Кочубей (ВЛ-110-165),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Кочубей - Артезиан-2 (ВЛ-110-141),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Куруш -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Сулевкент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,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Бабаюрт -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Сулевкент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(ВЛ-110-169).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1. Технические 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643607" w:rsidRDefault="003A30A1" w:rsidP="00E71CC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1.1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Причина повреждение ввода ф. «В» выключателя ОВ-110 ПС 110 </w:t>
            </w:r>
            <w:proofErr w:type="spellStart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proofErr w:type="spellStart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Ярыксу</w:t>
            </w:r>
            <w:proofErr w:type="spellEnd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  <w:r w:rsid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Причиной повреждения ввода фазы «В» в сторону выключателя ОВ-110 (МКП-110) явилось пробой изоляции остова ввода </w:t>
            </w:r>
            <w:proofErr w:type="spellStart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эл</w:t>
            </w:r>
            <w:proofErr w:type="gramStart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.д</w:t>
            </w:r>
            <w:proofErr w:type="gramEnd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угой</w:t>
            </w:r>
            <w:proofErr w:type="spellEnd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на нижнюю кромку втулки ввода (на корпус) в результате ухудшения изоляционной </w:t>
            </w:r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прочности (срок эксплуатации 42 года), а также длительного воздействия высоких температур окружающей среды (+37 - +39 град.)</w:t>
            </w:r>
          </w:p>
          <w:p w:rsidR="00E71CC3" w:rsidRPr="00643607" w:rsidRDefault="003A30A1" w:rsidP="00E71CC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1.2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Причина повреждения катушки отключения выключателя В-132 на ПС 110 </w:t>
            </w:r>
            <w:proofErr w:type="spellStart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="00E71CC3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Акташ.</w:t>
            </w:r>
            <w:bookmarkStart w:id="0" w:name="_GoBack"/>
            <w:bookmarkEnd w:id="0"/>
          </w:p>
          <w:p w:rsidR="00963E95" w:rsidRPr="00643607" w:rsidRDefault="00E71CC3" w:rsidP="00E71CC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proofErr w:type="gram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 следствии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ухудшения изоляции провода произошло межвитковое замыкание в обмотке катушки отключения с обрывом провода ПЭВ-045 мм2, что привело к отказу в отключении В-132 (МКП-110) действием 2 зоны ДЗ в Комплекте РЗА ВЛ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 –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(ДФЗ, ДЗ, ТЗНП, ТО, АОПО) (ШЭ2607 087)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Акташ.</w:t>
            </w:r>
          </w:p>
          <w:p w:rsidR="00E71CC3" w:rsidRPr="00643607" w:rsidRDefault="00E71CC3" w:rsidP="00E71CC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1.3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Причинами отказа ДЗШ 1-СШ-110кВ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явились неисправности накладки Н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- (вывод ДЗШ) (сорвана резьба и вследствие этого-плохой контакт). Также выявлены неисправные реле-РУ6-«Неисправность ДЗШ» (тип реле РУ-1-11У3, срабатывание реле 0,16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, и РУ7–«Обрыв цепей управления»– (тип реле РУ-1-11У3 срабатывание реле 0,16А) заклинивание механической части в следствии оплавления корпуса</w:t>
            </w:r>
          </w:p>
          <w:p w:rsidR="00E71CC3" w:rsidRPr="00643607" w:rsidRDefault="00E71CC3" w:rsidP="00E71CC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1.4 </w:t>
            </w: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Причиной излишней работы 1 и 2 ст. ТЗНП ОВ- 110 с защитами ВЛ-110-132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послужили неисправные реле тока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РТ 40/50 (1 ст. ТЗНП), РТ 40/20 (2 ст. ТЗНП) и реле мощности РБМ-177 в блоке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КЗ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 Комплекта ступенчатых защит ОВ-110 (ДЗ, ТЗНП, МФО) (ЭПЗ-1636)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E71CC3" w:rsidRPr="00643607" w:rsidRDefault="00E71CC3" w:rsidP="00E71CC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1.5 </w:t>
            </w: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Причиной отказа автоматического ускорения 3 ст. ТЗНП в Комплекте ступенчатых защит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Кизилюртовская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(ВЛ-110-176) (ДЗ, ТЗНП, МФО) (ЭПЗ-1636)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явилась сорвана резьба и плохой контакт на накладке Н-11 (вывод автоматического ускорение 3ст ЗЗ) .Накладку Н-11 заменили и опробовали автоматическое ускорение 3ст ТЗНП.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2.1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Ошибочные действия дежурного (оперативного) персонала при производстве переключений на ПС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Курчалой привело к повторной подаче напряжения на устойчивое не устранившееся </w:t>
            </w:r>
            <w:proofErr w:type="gram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КЗ</w:t>
            </w:r>
            <w:proofErr w:type="gram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(на вводе ф. «В» ОВ-110 ПС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) и неорганизованной подаче напряжения на погашенный участок электрической сети с недопустимыми параметрами режима.</w:t>
            </w:r>
          </w:p>
          <w:p w:rsidR="006E75E8" w:rsidRPr="00643607" w:rsidRDefault="003A30A1" w:rsidP="006E75E8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2.2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Некачественное техническое обслуживание РЗ привело к </w:t>
            </w:r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отказу в работе автоматического ускорения 3 ст. ТЗНП в Комплекте ступенчатых защит </w:t>
            </w:r>
            <w:proofErr w:type="gram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Кизилюртовская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(ВЛ-110-176) (ДЗ, ТЗНП, МФО) (ЭПЗ-1636) на ПС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Причиной отказа автоматического ускорения послужила - сорвана резьба и плохой контакт на накладке Н-11 (вывод автоматического ускорение 3ст ЗЗ). Накладку Н-11 заменили и опробовали автоматическое ускорение 3ст ТЗНП.</w:t>
            </w:r>
          </w:p>
          <w:p w:rsidR="006E75E8" w:rsidRPr="00643607" w:rsidRDefault="006E75E8" w:rsidP="006E75E8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При проведении планового ТО в объеме «В» проверка выполнена не в полном объеме</w:t>
            </w:r>
          </w:p>
          <w:p w:rsidR="006E75E8" w:rsidRPr="00643607" w:rsidRDefault="003A30A1" w:rsidP="006E75E8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2.3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Некачественное техническое обслуживание РЗ привело к </w:t>
            </w:r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излишней работе 1 и 2 ст. ТЗНП ОВ-110 с защитами ВЛ-110-132 на ПС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. При проведении послеаварийной проверки выявлены и заменены неисправные реле: на 1ст ТЗНП </w:t>
            </w:r>
            <w:proofErr w:type="gram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заменено РТ 40/50 на 2ст ТЗНП заменено</w:t>
            </w:r>
            <w:proofErr w:type="gram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РТ 40/20. А и реле мощности РБМ-177 в блоке КЗ</w:t>
            </w:r>
            <w:proofErr w:type="gram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proofErr w:type="gram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Комплекта ступенчатых защит ОВ-110 (ДЗ, ТЗНП, МФО) (ЭПЗ-1636) на ПС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  <w:p w:rsidR="00963E95" w:rsidRPr="00643607" w:rsidRDefault="006E75E8" w:rsidP="006E75E8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При проведении планового ТО в объеме «В» проверка выполнена не в полном объеме. Нарушены требования НТД по проведению технического обслуживания устройств РЗА. Проверка проводилась без учета задания по настройке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уставок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РЗА.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Реально выставленные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уставки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не соответствуют заданию Дагестанского РДУ выданным письмом от 24.08.2018г. № Р20-б1-III-19-1163.</w:t>
            </w:r>
            <w:proofErr w:type="gramEnd"/>
          </w:p>
          <w:p w:rsidR="006E75E8" w:rsidRPr="00643607" w:rsidRDefault="006E75E8" w:rsidP="006E75E8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2.4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Некачественное техническое обслуживание РЗ привело к </w:t>
            </w: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отказу в работе ДЗШ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При проведении проверки было обнаружено исчезновение оперативного тока из-за неисправности накладки Н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(вывод ДЗШ) (сорвана резьба и вследствие этого-плохой контакт). Также выявлены неисправные реле-РУ6-«Неисправность ДЗШ» (тип реле РУ-1-11У3, срабатывание реле 0,16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А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и РУ7–«Обрыв цепей управления»– (тип реле РУ-1-11У3 срабатывание реле 0,16А) заклинивание механической части в следствии оплавления корпуса.</w:t>
            </w:r>
          </w:p>
          <w:p w:rsidR="006E75E8" w:rsidRPr="00643607" w:rsidRDefault="006E75E8" w:rsidP="006E75E8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При проведении планового ТО в объеме «В» проверка выполнена не в полном объеме</w:t>
            </w:r>
          </w:p>
          <w:p w:rsidR="006E75E8" w:rsidRPr="00643607" w:rsidRDefault="006E75E8" w:rsidP="006E75E8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2.5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Некачественное техническое обслуживание выключателя В-132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(МКП-110)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 привело к отказу в отключении выключателя действием устройств РЗА (причина сгоревшая катушка отключения выключателя В-132),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в следствии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чего сработала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УРОВ 1-СШ-110кВ на отключение всех присоединений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1-СШ-110кВ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 с отключением потребителей.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75E8" w:rsidRPr="00643607" w:rsidRDefault="003A30A1" w:rsidP="006E75E8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3.1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 ПС 110 </w:t>
            </w:r>
            <w:proofErr w:type="spellStart"/>
            <w:r w:rsidR="006E75E8"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E75E8"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="006E75E8"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для недопущения повтора аналогичных случаев неправильной работы РЗ провести внеплановые проверки в объеме «В» следующих устройств РЗА:</w:t>
            </w:r>
          </w:p>
          <w:p w:rsidR="006E75E8" w:rsidRPr="00643607" w:rsidRDefault="006E75E8" w:rsidP="006E75E8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•</w:t>
            </w: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ab/>
              <w:t>ДЗШ 1-СШ-110 и ДЗШ 2-СШ-110;</w:t>
            </w:r>
          </w:p>
          <w:p w:rsidR="006E75E8" w:rsidRPr="00643607" w:rsidRDefault="006E75E8" w:rsidP="006E75E8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•</w:t>
            </w: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ab/>
              <w:t>УРОВ 110кВ;</w:t>
            </w:r>
          </w:p>
          <w:p w:rsidR="006E75E8" w:rsidRPr="00643607" w:rsidRDefault="006E75E8" w:rsidP="006E75E8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•</w:t>
            </w: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ab/>
              <w:t xml:space="preserve">Комплекта ступенчатых защит </w:t>
            </w:r>
            <w:proofErr w:type="gram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Акташ –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(ВЛ-110-132) (ДЗ, ТЗНП, МФО) (ЭПЗ-1636); Комплекта РЗА ВЛ 110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Акташ –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(ДФЗ, ДЗ, ТЗНП, </w:t>
            </w: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ТО, АОПО) </w:t>
            </w: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(ШЭ2607 087) ОВ-110;</w:t>
            </w:r>
          </w:p>
          <w:p w:rsidR="006E75E8" w:rsidRPr="00643607" w:rsidRDefault="006E75E8" w:rsidP="006E75E8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•</w:t>
            </w: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ab/>
              <w:t xml:space="preserve">Комплекта ступенчатых защит </w:t>
            </w:r>
            <w:proofErr w:type="gram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Кизилюртовская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(ВЛ-110-176) </w:t>
            </w: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  <w:t>(ДЗ, ТЗНП, МФО) (ЭПЗ-1636);</w:t>
            </w:r>
          </w:p>
          <w:p w:rsidR="003A30A1" w:rsidRPr="00643607" w:rsidRDefault="006E75E8" w:rsidP="006E75E8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•</w:t>
            </w:r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ab/>
              <w:t xml:space="preserve"> Комплекта ступенчатых защит </w:t>
            </w:r>
            <w:proofErr w:type="gram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Сулак – </w:t>
            </w:r>
            <w:proofErr w:type="spellStart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(ВЛ-110-185) (ДЗ, ТЗНП, МФО) (ЭПЗ-1636).</w:t>
            </w:r>
          </w:p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3.2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ПС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 провести внеплановую проверку защит Комплекта РЗА </w:t>
            </w:r>
            <w:proofErr w:type="gram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 –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(ДФЗ, ДЗ, ТЗНП, ТО, АОПО) (ШЭ2607 087) в объёме «В» с воздействием на отключение В-132.</w:t>
            </w:r>
          </w:p>
          <w:p w:rsidR="006E75E8" w:rsidRPr="00643607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3.3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ПС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 провести проверку катушек включения-отключения выключателей всех присоединений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кВ.</w:t>
            </w:r>
            <w:proofErr w:type="spellEnd"/>
          </w:p>
          <w:p w:rsidR="00963E95" w:rsidRPr="00643607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3.4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Произвести проверки правильности выставляемых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уставок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всех присоединений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переводимых на ОВ-110 на ПС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согласно выданным последним заданиям на перестройку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уставок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Дагестанским РДУ.</w:t>
            </w:r>
          </w:p>
          <w:p w:rsidR="006E75E8" w:rsidRPr="00643607" w:rsidRDefault="006E75E8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3.5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Ойсунгур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произвести замену комплекта ступенчатых защит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Ойсунгур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(Л-128) (ТЗНП, ДЗ, ТО) (ЭПЗ-1636) на микропроцессорный комплект РЗА</w:t>
            </w:r>
          </w:p>
          <w:p w:rsidR="006E75E8" w:rsidRPr="00643607" w:rsidRDefault="006E75E8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3.6 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Кизилюртовская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восстановить изолирующую перемычку между спуском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Каскад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Чирюртских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ГЭС -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Кизилюртовская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(ВЛ-110-106) к  ВЧЗ и перемычкой соединяющей между собой два ВЧЗ.</w:t>
            </w:r>
          </w:p>
          <w:p w:rsidR="006E75E8" w:rsidRPr="00643607" w:rsidRDefault="006E75E8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3.7 </w:t>
            </w:r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Персоналу службы РЗА ПУ СЭС Филиала ПАО «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Россети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Северный Кавказ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»-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«Дагэнерго» произвести на ПС 110 </w:t>
            </w:r>
            <w:proofErr w:type="spellStart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Сулак внеплановую проверку панели центральной сигнализации в объеме восстановления</w:t>
            </w:r>
            <w:r w:rsidRPr="00643607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A30A1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3A30A1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4. Организационные мероприятия:</w:t>
            </w:r>
          </w:p>
          <w:p w:rsidR="003A30A1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4.1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Организовать и провести проверку протоколов ТО в объеме «Восстановление» устройств РЗА ЛЭП 110 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Филиала ПАО «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Россети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Северный Кавказ» - «Дагэнерго» за последние 6-8 лет на предмет полноты и качества проведения технического обслуживания и оформления протоколов с привлечением представителей других Филиалов ПАО «</w:t>
            </w:r>
            <w:proofErr w:type="spellStart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Россети</w:t>
            </w:r>
            <w:proofErr w:type="spellEnd"/>
            <w:r w:rsidR="006E75E8" w:rsidRPr="00643607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Северный Кавказ».</w:t>
            </w:r>
          </w:p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4.2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Провести внеплановый инструктаж персоналу службы РЗА ПУ СЭС, обслуживающему устройства РЗА на тему: Соблюдение правил технического обслуживания устройств и комплексов релейной защиты и автоматики, утверждённого приказом МЭ РФ от 13 июля 2020 г. N 555.</w:t>
            </w:r>
          </w:p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4.3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Проработать с оперативным персоналом ЦУС «Дагэнерго» Порядок передачи оперативной информации об авариях в электроэнергетике от 02.03.2010 N 91.</w:t>
            </w:r>
          </w:p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4.4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Проработать с оперативным персоналом ПС 110 </w:t>
            </w:r>
            <w:proofErr w:type="spellStart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 Курчалой АО «</w:t>
            </w:r>
            <w:proofErr w:type="spellStart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Чеченэнерго</w:t>
            </w:r>
            <w:proofErr w:type="spellEnd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» Порядок передачи оперативной 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информации об авариях в электроэнергетике от 02.03.2010 N 91.</w:t>
            </w:r>
          </w:p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4.5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Проработать с оперативным персоналом ПС 110 </w:t>
            </w:r>
            <w:proofErr w:type="spellStart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 Курчалой АО «</w:t>
            </w:r>
            <w:proofErr w:type="spellStart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Чеченэнерго</w:t>
            </w:r>
            <w:proofErr w:type="spellEnd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» раздел 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 Правил переключений в электроэнергетике от 13.09.2018 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br/>
              <w:t>№ 757.</w:t>
            </w:r>
          </w:p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4.6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Внеочередная проверка знаний оперативному персоналу ПС 110 </w:t>
            </w:r>
            <w:proofErr w:type="spellStart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 Курчалой, совершившему ошибочные действия в данной аварии.</w:t>
            </w:r>
          </w:p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4.7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Оперативному персоналу АО «</w:t>
            </w:r>
            <w:proofErr w:type="spellStart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Чеченэнерго</w:t>
            </w:r>
            <w:proofErr w:type="spellEnd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 xml:space="preserve">» проработать мероприятия данного акта в рамках </w:t>
            </w:r>
            <w:proofErr w:type="spellStart"/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спецподготовки</w:t>
            </w:r>
            <w:proofErr w:type="spellEnd"/>
          </w:p>
          <w:p w:rsidR="006E75E8" w:rsidRPr="00643607" w:rsidRDefault="003A30A1" w:rsidP="006E75E8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4.8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E75E8" w:rsidRPr="00643607">
              <w:rPr>
                <w:rFonts w:ascii="Times New Roman" w:hAnsi="Times New Roman" w:cs="Times New Roman"/>
                <w:sz w:val="26"/>
                <w:szCs w:val="26"/>
              </w:rPr>
              <w:t>Рассмотреть возможность привлечения персонала других филиалов для проведения качественного ТО УРЗА, при проведении плановых, внеплановых или послеаварийных проверок УРЗА при отсутствии своего квалифицированного персонала.</w:t>
            </w:r>
          </w:p>
          <w:p w:rsidR="003A30A1" w:rsidRPr="00643607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5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643607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5.1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Усилить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техническим состоянием электрооборудования;</w:t>
            </w:r>
          </w:p>
          <w:p w:rsidR="00963E95" w:rsidRPr="00643607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5.2</w:t>
            </w:r>
            <w:r w:rsidR="00B141F2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Ведение оперативных переговоров необходимо проводить </w:t>
            </w: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>в строгом соответствии с Инструкцией о порядке ведения оперативных переговоров и передачи оперативных сообщений.</w:t>
            </w:r>
          </w:p>
          <w:p w:rsidR="006E75E8" w:rsidRPr="00643607" w:rsidRDefault="006E75E8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5.3</w:t>
            </w:r>
            <w:r w:rsidR="006E75E0"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 У</w:t>
            </w:r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силить </w:t>
            </w:r>
            <w:proofErr w:type="gramStart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643607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профессиональной подготовкой персонала.</w:t>
            </w:r>
          </w:p>
        </w:tc>
      </w:tr>
      <w:tr w:rsidR="00C7407A" w:rsidRPr="00C7407A" w:rsidTr="00A87EAD">
        <w:trPr>
          <w:trHeight w:val="849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643607" w:rsidRDefault="00963E95" w:rsidP="003A30A1">
            <w:pPr>
              <w:pStyle w:val="TableContents"/>
              <w:ind w:left="-105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7"/>
      <w:footerReference w:type="default" r:id="rId8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DD3" w:rsidRDefault="00A26DD3">
      <w:r>
        <w:separator/>
      </w:r>
    </w:p>
  </w:endnote>
  <w:endnote w:type="continuationSeparator" w:id="0">
    <w:p w:rsidR="00A26DD3" w:rsidRDefault="00A26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DD3" w:rsidRDefault="00A26DD3">
      <w:r>
        <w:separator/>
      </w:r>
    </w:p>
  </w:footnote>
  <w:footnote w:type="continuationSeparator" w:id="0">
    <w:p w:rsidR="00A26DD3" w:rsidRDefault="00A26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14009"/>
    <w:rsid w:val="000679AD"/>
    <w:rsid w:val="00132C6E"/>
    <w:rsid w:val="001C73DF"/>
    <w:rsid w:val="003A30A1"/>
    <w:rsid w:val="003D4F26"/>
    <w:rsid w:val="004605DA"/>
    <w:rsid w:val="00643607"/>
    <w:rsid w:val="00683D53"/>
    <w:rsid w:val="006E75E0"/>
    <w:rsid w:val="006E75E8"/>
    <w:rsid w:val="006F66CE"/>
    <w:rsid w:val="00761B58"/>
    <w:rsid w:val="007B7F30"/>
    <w:rsid w:val="00963E95"/>
    <w:rsid w:val="00982E1F"/>
    <w:rsid w:val="00A26DD3"/>
    <w:rsid w:val="00A87EAD"/>
    <w:rsid w:val="00B141F2"/>
    <w:rsid w:val="00BC2E3E"/>
    <w:rsid w:val="00C7407A"/>
    <w:rsid w:val="00D4587E"/>
    <w:rsid w:val="00E7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uiPriority w:val="99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uiPriority w:val="99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10043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Василевский Александр Антонович</dc:creator>
  <cp:keywords/>
  <cp:lastModifiedBy>Прудникова Ольга Алексеевна</cp:lastModifiedBy>
  <cp:revision>10</cp:revision>
  <cp:lastPrinted>2022-12-26T12:32:00Z</cp:lastPrinted>
  <dcterms:created xsi:type="dcterms:W3CDTF">2022-12-27T07:08:00Z</dcterms:created>
  <dcterms:modified xsi:type="dcterms:W3CDTF">2023-01-25T11:49:00Z</dcterms:modified>
</cp:coreProperties>
</file>