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p w:rsidR="00963E95" w:rsidRDefault="00683D53">
      <w:pPr>
        <w:pStyle w:val="Standard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УРОКИ, ИЗВЛЕЧЕННЫЕ ИЗ АВАРИИ</w:t>
      </w:r>
    </w:p>
    <w:p w:rsidR="00963E95" w:rsidRDefault="00963E95">
      <w:pPr>
        <w:pStyle w:val="Standard"/>
        <w:jc w:val="center"/>
        <w:rPr>
          <w:rFonts w:ascii="Times New Roman" w:eastAsia="Times New Roman" w:hAnsi="Times New Roman" w:cs="Times New Roman"/>
        </w:rPr>
      </w:pPr>
    </w:p>
    <w:tbl>
      <w:tblPr>
        <w:tblW w:w="1048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7229"/>
      </w:tblGrid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Дата происшествия: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E63401" w:rsidRDefault="00F0024E" w:rsidP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22.01.2021 </w:t>
            </w:r>
            <w:r w:rsidR="00D4587E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организации: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E63401" w:rsidRDefault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Филиал ПАО «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Россети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Северный Кавказ» 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-«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Дагэнерго»;</w:t>
            </w:r>
          </w:p>
          <w:p w:rsidR="00F0024E" w:rsidRPr="00E63401" w:rsidRDefault="00F0024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ОАО «РЖД» - Махачкалинская дистанция электроснабжения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Ведомственная принадлежность: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E63401" w:rsidRDefault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ПАО «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Россети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Северный Кавказ»</w:t>
            </w:r>
          </w:p>
          <w:p w:rsidR="00F0024E" w:rsidRPr="00E63401" w:rsidRDefault="00F0024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ОАО «РЖД»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Место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E63401" w:rsidRDefault="00D4587E" w:rsidP="00D4587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spellStart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пгт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Дубки,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Казбековский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район, Республика Дагестан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Standard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Вид аварии: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E63401" w:rsidRDefault="00F0024E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proofErr w:type="gram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Нарушения в работе противоаварийной или режимной автоматики, в том числе обусловленные ошибочными действиями персонала, вызвавшие отключение объекта электросетевого хозяйства (высший класс напряжения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выше), отключение (включение) генерирующего оборудования, суммарная мощность которого составляет 100  МВт и более, или прекращение электроснабжения потребителей электрической энергии, суммарная мощность потребления которых составляет 100 МВт и более</w:t>
            </w:r>
            <w:proofErr w:type="gramEnd"/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color w:val="auto"/>
              </w:rPr>
              <w:t>К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раткое описание аварии:</w:t>
            </w:r>
          </w:p>
          <w:p w:rsidR="00963E95" w:rsidRPr="00C7407A" w:rsidRDefault="00963E95">
            <w:pPr>
              <w:pStyle w:val="Standard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401" w:rsidRDefault="006F66CE" w:rsidP="00F0024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  <w:r w:rsidR="00F0024E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</w:t>
            </w: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F0024E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января</w:t>
            </w: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2021 г. на </w:t>
            </w:r>
            <w:proofErr w:type="gramStart"/>
            <w:r w:rsidR="00F0024E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ВЛ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0024E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Сулак – </w:t>
            </w:r>
            <w:proofErr w:type="spellStart"/>
            <w:r w:rsidR="00F0024E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="00F0024E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F0024E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результате выхода из прессуемого соединительного зажима (типа САС-300) одного провода расщепленной фазы "С" </w:t>
            </w:r>
            <w:r w:rsidR="000B57FD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отключилась </w:t>
            </w:r>
          </w:p>
          <w:p w:rsidR="000B57FD" w:rsidRPr="00E63401" w:rsidRDefault="000B57FD" w:rsidP="00F0024E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ВЛ-110-185 действием: - на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  <w:lang w:val="x-none"/>
              </w:rPr>
              <w:t>2 ступени ТЗНП</w:t>
            </w:r>
            <w:r w:rsidRPr="00E6340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при этом обесточено:</w:t>
            </w:r>
          </w:p>
          <w:p w:rsidR="00963E95" w:rsidRPr="00E63401" w:rsidRDefault="000B57FD" w:rsidP="000B57FD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16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,П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Куруш,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Сулевкент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Бабаюрт,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Речная,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Александрия,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Кизляр-2,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Львовская,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Кизляр-1,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Калиновка,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Карланюрт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-Тяговая,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Шелковская,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Каргалиновская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Ойсунгур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Гудермес), 2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Артезиан-2, 2-СШ-110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Кочубей, 1-СШ-110кВ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наПС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 (Т-1 в резерве, нагрузка запитана от Т-2), 1СШ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 - Тяговая, 1СШ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Гудермес-Сити</w:t>
            </w:r>
            <w:r w:rsid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1СШ-110 </w:t>
            </w:r>
            <w:proofErr w:type="spellStart"/>
            <w:r w:rsid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Курчалой </w:t>
            </w:r>
            <w:r w:rsidR="00E63401" w:rsidRPr="00E63401">
              <w:rPr>
                <w:rFonts w:ascii="Times New Roman" w:eastAsia="Times New Roman" w:hAnsi="Times New Roman" w:cs="Times New Roman"/>
                <w:sz w:val="26"/>
                <w:szCs w:val="26"/>
                <w:lang w:val="x-none"/>
              </w:rPr>
              <w:t>ТЗНП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Последствия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401" w:rsidRPr="00E63401" w:rsidRDefault="00E63401" w:rsidP="00E63401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bookmarkStart w:id="0" w:name="_GoBack"/>
            <w:bookmarkEnd w:id="0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ри этом обесточено:</w:t>
            </w:r>
          </w:p>
          <w:p w:rsidR="001F3EB3" w:rsidRPr="00E63401" w:rsidRDefault="00E63401" w:rsidP="00E6340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16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,П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Куруш,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Сулевкент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Бабаюрт,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Речная,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Александрия,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Кизляр-2,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Львовская,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Кизляр-1,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Калиновка,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Карланюрт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-Тяговая,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Шелковская,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Каргалиновская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Ойсунгур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Гудермес), 2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Артезиан-2, 2-СШ-110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Кочубей, 1-СШ-110кВ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наПС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 (Т-1 в резерве, нагрузка запитана от Т-2), 1СШ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 - Тяговая, 1СШ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Гудермес-Сити, 1СШ-110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Курчалой.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1. Технические причины </w:t>
            </w: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CE5" w:rsidRPr="00E63401" w:rsidRDefault="003A30A1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lastRenderedPageBreak/>
              <w:t>1.1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Неисправность часового механизма реле времени </w:t>
            </w:r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электромеханического устройства АОПО ВЛ-132/136/137 на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 (заедание часового механизма). </w:t>
            </w:r>
          </w:p>
          <w:p w:rsidR="00017CE5" w:rsidRPr="00E63401" w:rsidRDefault="003A30A1" w:rsidP="00E71CC3">
            <w:pPr>
              <w:pStyle w:val="Standard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1.2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 </w:t>
            </w:r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Выход одного провода расщепленной фазы «С» на опоре № 61 ВЛ-110-185 из прессуемого соединительного зажима САС-З00 из-за нарушения технологии монтажа</w:t>
            </w:r>
            <w:r w:rsidR="00017CE5" w:rsidRPr="00E63401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017CE5" w:rsidRPr="00E63401">
              <w:rPr>
                <w:rFonts w:ascii="Times New Roman" w:hAnsi="Times New Roman" w:cs="Times New Roman"/>
                <w:sz w:val="26"/>
                <w:szCs w:val="26"/>
              </w:rPr>
              <w:t xml:space="preserve">не выполнено соединение стального сердечника провода перед </w:t>
            </w:r>
            <w:proofErr w:type="spellStart"/>
            <w:r w:rsidR="00017CE5" w:rsidRPr="00E63401">
              <w:rPr>
                <w:rFonts w:ascii="Times New Roman" w:hAnsi="Times New Roman" w:cs="Times New Roman"/>
                <w:sz w:val="26"/>
                <w:szCs w:val="26"/>
              </w:rPr>
              <w:t>опрессовкой</w:t>
            </w:r>
            <w:proofErr w:type="spellEnd"/>
            <w:r w:rsidR="00017CE5" w:rsidRPr="00E63401">
              <w:rPr>
                <w:rFonts w:ascii="Times New Roman" w:hAnsi="Times New Roman" w:cs="Times New Roman"/>
                <w:sz w:val="26"/>
                <w:szCs w:val="26"/>
              </w:rPr>
              <w:t xml:space="preserve"> алюминиевого корпуса.</w:t>
            </w:r>
          </w:p>
          <w:p w:rsidR="00E71CC3" w:rsidRPr="00E63401" w:rsidRDefault="00E71CC3" w:rsidP="00E71CC3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1.3 </w:t>
            </w:r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Причиной отказа в отключении В-185 на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 после его включения действием АПВ на </w:t>
            </w:r>
            <w:proofErr w:type="gramStart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КЗ</w:t>
            </w:r>
            <w:proofErr w:type="gramEnd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явилось разрегулированные блокировочные контакты цепей включения и отключения выключателя в результате чего при включении выключателя не разомкнулась цепь катушки включения (как следствие она сгорела) и не собралась цепь катушки отключения (в результате выключатель не отключился при подаче импульса на отключение от защит).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 xml:space="preserve">2. Организационные </w:t>
            </w:r>
            <w:r w:rsidR="001C73DF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причины аварии: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2.1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Персоналом службы РЗА ОАО «РЖД» - Махачкалинской дистанции электроснабжения на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Карланюрт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-Тяговая не производятся периодические осмотры панелей релейной защиты,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электроавтоматики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сигнализации, с проверкой правильности положения переключающих устройств (рубильников, ключей управления, накладок и пр.) и крышек испытательных блоков и соответствие их положения схемам и режимам работы оборудования. В результате излишней и преждевременной работы АПВ на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Карланюрт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-Тяговая</w:t>
            </w:r>
            <w:r w:rsidR="00017CE5" w:rsidRPr="00E634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(</w:t>
            </w:r>
            <w:proofErr w:type="gramStart"/>
            <w:r w:rsidR="00017CE5" w:rsidRPr="00E634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t</w:t>
            </w:r>
            <w:proofErr w:type="gramEnd"/>
            <w:r w:rsidR="00017CE5" w:rsidRPr="00E634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АПВ</w:t>
            </w:r>
            <w:r w:rsidR="00017CE5" w:rsidRPr="00E634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=6 сек</w:t>
            </w:r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 отсутствовали условия для работы АПВ со стороны ПС 330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Чирюрт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(</w:t>
            </w:r>
            <w:r w:rsidR="00017CE5" w:rsidRPr="00E634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/>
              </w:rPr>
              <w:t>t</w:t>
            </w:r>
            <w:r w:rsidR="00017CE5" w:rsidRPr="00E634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bscript"/>
              </w:rPr>
              <w:t>АПВ</w:t>
            </w:r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=</w:t>
            </w:r>
            <w:r w:rsidR="00017CE5" w:rsidRPr="00E6340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8.5 сек</w:t>
            </w:r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), что привело к потере транзита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Чирюрт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–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Карланюрт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-Тяговая-Акташ и развитию аварии с отключением потребителей.</w:t>
            </w:r>
          </w:p>
          <w:p w:rsidR="00017CE5" w:rsidRPr="00E63401" w:rsidRDefault="003A30A1" w:rsidP="006E75E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2.2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Некачественное техническое обслуживание В-185 на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 </w:t>
            </w:r>
            <w:proofErr w:type="gramStart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в следствии</w:t>
            </w:r>
            <w:proofErr w:type="gramEnd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чего отказ в отключении выключателя после его включения действием АПВ на устойчивое КЗ (причина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разрегулировка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блокировочных контактов цепей включения и отключения выключателя </w:t>
            </w:r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В-185) в последствии КЗ ликвидировано действием УРОВ 1-СШ-110кВ на отключение СВ-110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Сулак.</w:t>
            </w:r>
          </w:p>
          <w:p w:rsidR="00963E95" w:rsidRPr="00E63401" w:rsidRDefault="003A30A1" w:rsidP="006E75E8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2.3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Работы по техническому обслуживанию устройства </w:t>
            </w:r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 xml:space="preserve">АОПО ВЛ-132/136/137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Акташ выполнены не в полном объеме, </w:t>
            </w:r>
            <w:proofErr w:type="gram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 следствие</w:t>
            </w:r>
            <w:proofErr w:type="gram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чего не было выявлено неисправный часовой механизм реле времени. В результате отказа АОПО ВЛ-132/136/137 излишне были отключены потребители, питающиеся от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Акташ (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Роткл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=43 МВт) и от ПС 110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</w:t>
            </w:r>
            <w:proofErr w:type="spellStart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Роткл</w:t>
            </w:r>
            <w:proofErr w:type="spellEnd"/>
            <w:r w:rsidR="00017C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=53 МВт)</w:t>
            </w:r>
            <w:r w:rsidR="006E75E8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</w:t>
            </w:r>
          </w:p>
          <w:p w:rsidR="00692B5A" w:rsidRPr="00E63401" w:rsidRDefault="006E75E8" w:rsidP="00692B5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2.4 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Несоблюдение технологии монтажа персоналом подрядной организации (Мехколонна № 116 треста «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Дагэлектросетьстрой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») при установке прессуемого соединительного зажима типа САС-300 на проводе ф. «С» у анкерной опоры № 61 ВЛ-110-185 привело к выходу из 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прессуемого соединительного зажима одного провода расщепленной фазы "С" в пролете опор № 60-61 (16 км от ПС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Сулак) в процессе эксплуатации.</w:t>
            </w:r>
            <w:proofErr w:type="gramEnd"/>
          </w:p>
          <w:p w:rsidR="006E75E8" w:rsidRPr="00E63401" w:rsidRDefault="00692B5A" w:rsidP="00692B5A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фотоматериалам, прикрепленным к листку осмотра (послеаварийного) ВЛ-110-185, видно нарушение технологии монтажа прессуемого соединительного зажима типа САС-300: срез вышедшего провода ровный, что свидетельствует о не выполнении соединения стального сердечника провода перед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опрессовкой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алюминиевого корпуса.</w:t>
            </w:r>
            <w:proofErr w:type="gramEnd"/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683D53">
            <w:pPr>
              <w:pStyle w:val="TableContents"/>
              <w:rPr>
                <w:color w:val="auto"/>
              </w:rPr>
            </w:pPr>
            <w:r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3. Технические мероприятия: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2B5A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3.1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Оснастить ЛЭП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</w:t>
            </w:r>
            <w:proofErr w:type="gram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 -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(ВЛ-110-185), ВЛ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Акташ-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 xml:space="preserve">(ВЛ-110-132), ВЛ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Каскад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Чирюртских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ГЭС-Акташ (ВЛ-110-137)) </w:t>
            </w:r>
            <w:r w:rsidR="00692B5A" w:rsidRPr="00E63401">
              <w:rPr>
                <w:rFonts w:ascii="Times New Roman" w:hAnsi="Times New Roman" w:cs="Times New Roman"/>
                <w:sz w:val="26"/>
                <w:szCs w:val="26"/>
              </w:rPr>
              <w:t xml:space="preserve">отходящих от ПС 110 </w:t>
            </w:r>
            <w:proofErr w:type="spellStart"/>
            <w:r w:rsidR="00692B5A" w:rsidRPr="00E63401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hAnsi="Times New Roman" w:cs="Times New Roman"/>
                <w:sz w:val="26"/>
                <w:szCs w:val="26"/>
              </w:rPr>
              <w:t xml:space="preserve"> ПУ СЭС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«Дагэнерго» Шкафами отбора напряжения и наладить схему АПВ согласно заданию Дагестанского РДУ (ПУР Приложение 05-2), в соответствии с План-графиком выполнения контроля/отсутствия напряжения на шинах и на ЛЭП, а также контроля синхронизма запланированного со сроком исполнения 2018 года.</w:t>
            </w:r>
          </w:p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3.2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hAnsi="Times New Roman" w:cs="Times New Roman"/>
                <w:sz w:val="26"/>
                <w:szCs w:val="26"/>
              </w:rPr>
              <w:t>Нанести маркировку краской на провод и на прессуемые соединители зажима типа САС-300 на опоре № 61 ВЛ-110-185 в целях дальнейшего контроля выхода провода из зажима при проведении осмотров</w:t>
            </w:r>
          </w:p>
          <w:p w:rsidR="006E75E8" w:rsidRPr="00E63401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3.3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Выполнить внеочередной верховой осмотр с выборочной проверкой проводов и тросов в зажимах и дистанционных распорок 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proofErr w:type="gram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 –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(ВЛ-110-185) инженерно-техническими работниками.</w:t>
            </w:r>
          </w:p>
          <w:p w:rsidR="00963E95" w:rsidRPr="00E63401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3.4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Выполнить мероприятия План – графика, разработанного в соответствии с п. 3.2.1 настоящего акта.</w:t>
            </w:r>
          </w:p>
          <w:p w:rsidR="006E75E8" w:rsidRPr="00E63401" w:rsidRDefault="006E75E8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3.5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</w:t>
            </w:r>
            <w:proofErr w:type="gram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ровести послеаварийную проверку устройств РЗА В-132 на ПС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выявленные дефекты устранить</w:t>
            </w:r>
          </w:p>
          <w:p w:rsidR="00692B5A" w:rsidRPr="00E63401" w:rsidRDefault="006E75E8" w:rsidP="00692B5A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3.6 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С целью выявления дефектов и повреждений, и принятия технических решений по восстановлению надежной и безопасной эксплуатации, создать комиссию и провести техническое обследование указанных ниже ПС и </w:t>
            </w:r>
            <w:proofErr w:type="gram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: </w:t>
            </w:r>
          </w:p>
          <w:p w:rsidR="00692B5A" w:rsidRPr="00E63401" w:rsidRDefault="00692B5A" w:rsidP="00692B5A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Акташ, 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, </w:t>
            </w: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 xml:space="preserve">ПС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Сулак;</w:t>
            </w:r>
          </w:p>
          <w:p w:rsidR="006E75E8" w:rsidRPr="00E63401" w:rsidRDefault="00692B5A" w:rsidP="00692B5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ВЛ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Сулак -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(ВЛ-110-185), </w:t>
            </w: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 xml:space="preserve">ВЛ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Каскад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Чирюртских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ГЭС – Акташ </w:t>
            </w: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 xml:space="preserve">(ВЛ-110-137), ВЛ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Акташ –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Ярыксу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br/>
              <w:t xml:space="preserve">(ВЛ-110-132), ВЛ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Чирюрт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Карланюрт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-Тяговая (ВЛ-110-135), ВЛ 110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Акташ – </w:t>
            </w:r>
            <w:proofErr w:type="spellStart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Карланюрт</w:t>
            </w:r>
            <w:proofErr w:type="spellEnd"/>
            <w:r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-Тяговая (ВЛ-110-136.</w:t>
            </w:r>
          </w:p>
        </w:tc>
      </w:tr>
      <w:tr w:rsidR="003A30A1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3A30A1" w:rsidRDefault="003A30A1" w:rsidP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3A30A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4. Организационные мероприятия:</w:t>
            </w:r>
          </w:p>
          <w:p w:rsidR="003A30A1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4.1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Разработать и утвердить План – график устранения выявленных дефектов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по 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результатам выполнения внеочередного верхового осмотра с выборочной проверкой проводов и тросов в зажимах и дистанционных распорок </w:t>
            </w:r>
            <w:proofErr w:type="gram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Сулак –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>Ярыксу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(ВЛ-110-185) инженерно-техническими работниками в соответствии п. 3.1.3 настоящего акта.</w:t>
            </w:r>
          </w:p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4.2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При выявлении дефектов, не включённых в производственные программы повышения надежности электросетевого комплекса Республики Дагестан разработать и утвердить План – график устранения выявленных дефектов по результатам выполнения п.3.1.6.</w:t>
            </w:r>
          </w:p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4.3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Персоналу службы РЗА ПУ СЭС «Дагэнерго» провести внеплановый инструктаж на тему: «Соблюдение правил и объемов проведения технического обслуживания устройств РЗА в соответствии с РД 153-34.0-35.617-2001»</w:t>
            </w:r>
          </w:p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4.4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Персоналу службы РЗА ПУ СЭС                                                                                                                                                                                                           «Дагэнерго» разработать и закрепить на панелях РЗА В-185 ПС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Сулак и ПС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Яры                                                                                                                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ксу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таблицы нормального положения оперативных элементов в соответствии с заданием Дагестанское РДУ.</w:t>
            </w:r>
          </w:p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4.5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Персоналу службы РЗА ОАО «РЖД» - Махачкалинская дистанция электроснабжения провести внеплановый инструктаж на тему: «Соблюдение правил и объемов проведения технического обслуживания устройств РЗА в соответствии с РД 153-34.0-35.617-2001»</w:t>
            </w:r>
          </w:p>
          <w:p w:rsidR="003A30A1" w:rsidRPr="00E63401" w:rsidRDefault="003A30A1" w:rsidP="00692B5A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4.6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Персоналу службы РЗА ОАО «РЖД» - Махачкалинская дистанция электроснабжения разработать и закрепить на панелях РЗА СВЭ-110 ПС 110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кВ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Карланюрт</w:t>
            </w:r>
            <w:proofErr w:type="spellEnd"/>
            <w:r w:rsidR="00692B5A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-Тяговая таблицы нормального положения оперативных элементов в соответствии с заданием Дагестанское РДУ.</w:t>
            </w:r>
          </w:p>
        </w:tc>
      </w:tr>
      <w:tr w:rsidR="00C7407A" w:rsidRPr="00C7407A">
        <w:trPr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lastRenderedPageBreak/>
              <w:t>5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Извлеченные уроки: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30A1" w:rsidRPr="00E63401" w:rsidRDefault="003A30A1" w:rsidP="003A30A1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5.1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Усилить 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техническим состоянием электрооборудования;</w:t>
            </w:r>
          </w:p>
          <w:p w:rsidR="00963E95" w:rsidRPr="00E63401" w:rsidRDefault="003A30A1" w:rsidP="00B141F2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5.2</w:t>
            </w:r>
            <w:r w:rsidR="00B141F2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 </w:t>
            </w:r>
            <w:r w:rsidR="001F76E5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Усилить </w:t>
            </w:r>
            <w:proofErr w:type="gramStart"/>
            <w:r w:rsidR="001F76E5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="001F76E5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профессиональной подготовкой персонала.</w:t>
            </w:r>
          </w:p>
          <w:p w:rsidR="006E75E8" w:rsidRPr="00E63401" w:rsidRDefault="006E75E8" w:rsidP="001F76E5">
            <w:pPr>
              <w:pStyle w:val="Standard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5.3</w:t>
            </w:r>
            <w:r w:rsidR="006E75E0"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 У</w:t>
            </w: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силить </w:t>
            </w:r>
            <w:proofErr w:type="gramStart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контроль за</w:t>
            </w:r>
            <w:proofErr w:type="gramEnd"/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  <w:r w:rsidR="001F76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осмотрами панелей релейной защиты, </w:t>
            </w:r>
            <w:proofErr w:type="spellStart"/>
            <w:r w:rsidR="001F76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электроавтоматики</w:t>
            </w:r>
            <w:proofErr w:type="spellEnd"/>
            <w:r w:rsidR="001F76E5" w:rsidRPr="00E63401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сигнализации, с проверкой правильности положения переключающих устройств</w:t>
            </w:r>
            <w:r w:rsidRPr="00E6340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.</w:t>
            </w:r>
          </w:p>
        </w:tc>
      </w:tr>
      <w:tr w:rsidR="00C7407A" w:rsidRPr="00C7407A" w:rsidTr="00BD3CB9">
        <w:trPr>
          <w:trHeight w:val="753"/>
          <w:jc w:val="center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C7407A" w:rsidRDefault="003A30A1">
            <w:pPr>
              <w:pStyle w:val="TableContents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6</w:t>
            </w:r>
            <w:r w:rsidR="00683D53" w:rsidRPr="00C7407A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. Фото места происшествия.</w:t>
            </w:r>
          </w:p>
          <w:p w:rsidR="00963E95" w:rsidRPr="00C7407A" w:rsidRDefault="00963E95">
            <w:pPr>
              <w:pStyle w:val="TableContents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3E95" w:rsidRPr="00E63401" w:rsidRDefault="00963E95" w:rsidP="003A30A1">
            <w:pPr>
              <w:pStyle w:val="TableContents"/>
              <w:ind w:left="-105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963E95" w:rsidRPr="00B141F2" w:rsidRDefault="00963E95">
      <w:pPr>
        <w:pStyle w:val="Standard"/>
        <w:jc w:val="center"/>
        <w:rPr>
          <w:sz w:val="8"/>
        </w:rPr>
      </w:pPr>
    </w:p>
    <w:sectPr w:rsidR="00963E95" w:rsidRPr="00B141F2">
      <w:headerReference w:type="default" r:id="rId7"/>
      <w:footerReference w:type="default" r:id="rId8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0C1" w:rsidRDefault="006A30C1">
      <w:r>
        <w:separator/>
      </w:r>
    </w:p>
  </w:endnote>
  <w:endnote w:type="continuationSeparator" w:id="0">
    <w:p w:rsidR="006A30C1" w:rsidRDefault="006A3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empora LGC Uni">
    <w:altName w:val="Times New Roman"/>
    <w:charset w:val="00"/>
    <w:family w:val="auto"/>
    <w:pitch w:val="default"/>
  </w:font>
  <w:font w:name="XO Thame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0C1" w:rsidRDefault="006A30C1">
      <w:r>
        <w:separator/>
      </w:r>
    </w:p>
  </w:footnote>
  <w:footnote w:type="continuationSeparator" w:id="0">
    <w:p w:rsidR="006A30C1" w:rsidRDefault="006A3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D53" w:rsidRDefault="00683D53"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95"/>
    <w:rsid w:val="00014009"/>
    <w:rsid w:val="00017CE5"/>
    <w:rsid w:val="000679AD"/>
    <w:rsid w:val="0007169F"/>
    <w:rsid w:val="000B57FD"/>
    <w:rsid w:val="00132C6E"/>
    <w:rsid w:val="001C73DF"/>
    <w:rsid w:val="001F3EB3"/>
    <w:rsid w:val="001F76E5"/>
    <w:rsid w:val="003A30A1"/>
    <w:rsid w:val="004605DA"/>
    <w:rsid w:val="00482FC3"/>
    <w:rsid w:val="005D5BC1"/>
    <w:rsid w:val="00683D53"/>
    <w:rsid w:val="00692B5A"/>
    <w:rsid w:val="006A30C1"/>
    <w:rsid w:val="006E75E0"/>
    <w:rsid w:val="006E75E8"/>
    <w:rsid w:val="006F66CE"/>
    <w:rsid w:val="00761B58"/>
    <w:rsid w:val="007B7F30"/>
    <w:rsid w:val="00963E95"/>
    <w:rsid w:val="00982E1F"/>
    <w:rsid w:val="00B141F2"/>
    <w:rsid w:val="00BC2E3E"/>
    <w:rsid w:val="00BD3CB9"/>
    <w:rsid w:val="00C7407A"/>
    <w:rsid w:val="00D4587E"/>
    <w:rsid w:val="00E63401"/>
    <w:rsid w:val="00E71CC3"/>
    <w:rsid w:val="00F0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uiPriority w:val="99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empora LGC Uni" w:eastAsia="Tempora LGC Uni" w:hAnsi="Tempora LGC Uni" w:cs="Tempora LGC Un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1">
    <w:name w:val="heading 1"/>
    <w:basedOn w:val="Standard"/>
    <w:next w:val="Standard"/>
    <w:pPr>
      <w:spacing w:before="120" w:after="120"/>
      <w:outlineLvl w:val="0"/>
    </w:pPr>
    <w:rPr>
      <w:rFonts w:ascii="XO Thames" w:eastAsia="XO Thames" w:hAnsi="XO Thames" w:cs="XO Thames"/>
      <w:b/>
      <w:bCs/>
      <w:sz w:val="32"/>
      <w:szCs w:val="32"/>
    </w:rPr>
  </w:style>
  <w:style w:type="paragraph" w:styleId="2">
    <w:name w:val="heading 2"/>
    <w:basedOn w:val="Standard"/>
    <w:next w:val="Standard"/>
    <w:pPr>
      <w:spacing w:before="120" w:after="120"/>
      <w:outlineLvl w:val="1"/>
    </w:pPr>
    <w:rPr>
      <w:rFonts w:ascii="XO Thames" w:eastAsia="XO Thames" w:hAnsi="XO Thames" w:cs="XO Thames"/>
      <w:b/>
      <w:bCs/>
      <w:color w:val="00A0FF"/>
      <w:sz w:val="26"/>
      <w:szCs w:val="26"/>
    </w:rPr>
  </w:style>
  <w:style w:type="paragraph" w:styleId="3">
    <w:name w:val="heading 3"/>
    <w:basedOn w:val="Standard"/>
    <w:next w:val="Standard"/>
    <w:pPr>
      <w:outlineLvl w:val="2"/>
    </w:pPr>
    <w:rPr>
      <w:rFonts w:ascii="XO Thames" w:eastAsia="XO Thames" w:hAnsi="XO Thames" w:cs="XO Thames"/>
      <w:b/>
      <w:bCs/>
      <w:i/>
      <w:iCs/>
    </w:rPr>
  </w:style>
  <w:style w:type="paragraph" w:styleId="4">
    <w:name w:val="heading 4"/>
    <w:basedOn w:val="Standard"/>
    <w:next w:val="Standard"/>
    <w:pPr>
      <w:spacing w:before="120" w:after="120"/>
      <w:outlineLvl w:val="3"/>
    </w:pPr>
    <w:rPr>
      <w:rFonts w:ascii="XO Thames" w:eastAsia="XO Thames" w:hAnsi="XO Thames" w:cs="XO Thames"/>
      <w:b/>
      <w:bCs/>
      <w:color w:val="595959"/>
      <w:sz w:val="26"/>
      <w:szCs w:val="26"/>
    </w:rPr>
  </w:style>
  <w:style w:type="paragraph" w:styleId="5">
    <w:name w:val="heading 5"/>
    <w:basedOn w:val="Standard"/>
    <w:next w:val="Standard"/>
    <w:pPr>
      <w:spacing w:before="120" w:after="120"/>
      <w:outlineLvl w:val="4"/>
    </w:pPr>
    <w:rPr>
      <w:rFonts w:ascii="XO Thames" w:eastAsia="XO Thames" w:hAnsi="XO Thames" w:cs="XO Thames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s2">
    <w:name w:val="Contents 2"/>
    <w:basedOn w:val="Standard"/>
    <w:next w:val="Standard"/>
    <w:pPr>
      <w:ind w:left="2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a3">
    <w:name w:val="Текст выноски Знак"/>
    <w:basedOn w:val="10"/>
    <w:rPr>
      <w:rFonts w:ascii="Tahoma" w:eastAsia="Tahoma" w:hAnsi="Tahoma" w:cs="Tahoma"/>
      <w:sz w:val="16"/>
      <w:szCs w:val="16"/>
    </w:rPr>
  </w:style>
  <w:style w:type="paragraph" w:customStyle="1" w:styleId="Contents6">
    <w:name w:val="Contents 6"/>
    <w:basedOn w:val="Standard"/>
    <w:next w:val="Standard"/>
    <w:pPr>
      <w:ind w:left="1000"/>
    </w:pPr>
  </w:style>
  <w:style w:type="paragraph" w:customStyle="1" w:styleId="Contents7">
    <w:name w:val="Contents 7"/>
    <w:basedOn w:val="Standard"/>
    <w:next w:val="Standard"/>
    <w:pPr>
      <w:ind w:left="1200"/>
    </w:pPr>
  </w:style>
  <w:style w:type="paragraph" w:customStyle="1" w:styleId="Standard">
    <w:name w:val="Standard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customStyle="1" w:styleId="TableContents">
    <w:name w:val="Table Contents"/>
    <w:basedOn w:val="Standard"/>
    <w:pPr>
      <w:widowControl w:val="0"/>
    </w:pPr>
  </w:style>
  <w:style w:type="paragraph" w:styleId="a4">
    <w:name w:val="Balloon Text"/>
    <w:basedOn w:val="a"/>
    <w:uiPriority w:val="99"/>
    <w:rPr>
      <w:rFonts w:ascii="Tahoma" w:eastAsia="Tahoma" w:hAnsi="Tahoma" w:cs="Tahoma"/>
      <w:sz w:val="16"/>
      <w:szCs w:val="16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10">
    <w:name w:val="Основной шрифт абзаца1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5">
    <w:name w:val="caption"/>
    <w:basedOn w:val="Standard"/>
    <w:pPr>
      <w:spacing w:before="120" w:after="120"/>
    </w:pPr>
    <w:rPr>
      <w:i/>
      <w:iCs/>
    </w:rPr>
  </w:style>
  <w:style w:type="paragraph" w:customStyle="1" w:styleId="Internetlink">
    <w:name w:val="Internet link"/>
    <w:pPr>
      <w:suppressAutoHyphens/>
      <w:overflowPunct w:val="0"/>
      <w:autoSpaceDE w:val="0"/>
      <w:autoSpaceDN w:val="0"/>
      <w:textAlignment w:val="baseline"/>
    </w:pPr>
    <w:rPr>
      <w:color w:val="0000FF"/>
      <w:kern w:val="3"/>
      <w:sz w:val="24"/>
      <w:szCs w:val="24"/>
      <w:u w:val="single"/>
    </w:rPr>
  </w:style>
  <w:style w:type="paragraph" w:customStyle="1" w:styleId="Footnote">
    <w:name w:val="Footnote"/>
    <w:pPr>
      <w:suppressAutoHyphens/>
      <w:overflowPunct w:val="0"/>
      <w:autoSpaceDE w:val="0"/>
      <w:autoSpaceDN w:val="0"/>
      <w:textAlignment w:val="baseline"/>
    </w:pPr>
    <w:rPr>
      <w:rFonts w:ascii="XO Thames" w:eastAsia="XO Thames" w:hAnsi="XO Thames" w:cs="XO Thames"/>
      <w:color w:val="000000"/>
      <w:kern w:val="3"/>
      <w:sz w:val="22"/>
      <w:szCs w:val="22"/>
    </w:rPr>
  </w:style>
  <w:style w:type="paragraph" w:customStyle="1" w:styleId="Contents1">
    <w:name w:val="Contents 1"/>
    <w:basedOn w:val="Standard"/>
    <w:next w:val="Standard"/>
    <w:rPr>
      <w:rFonts w:ascii="XO Thames" w:eastAsia="XO Thames" w:hAnsi="XO Thames" w:cs="XO Thames"/>
      <w:b/>
      <w:b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Open Sans" w:eastAsia="Open Sans" w:hAnsi="Open Sans" w:cs="Open Sans"/>
      <w:sz w:val="28"/>
      <w:szCs w:val="28"/>
    </w:rPr>
  </w:style>
  <w:style w:type="paragraph" w:customStyle="1" w:styleId="HeaderandFooter">
    <w:name w:val="Header and Footer"/>
    <w:pPr>
      <w:suppressAutoHyphens/>
      <w:overflowPunct w:val="0"/>
      <w:autoSpaceDE w:val="0"/>
      <w:autoSpaceDN w:val="0"/>
      <w:spacing w:line="360" w:lineRule="auto"/>
      <w:textAlignment w:val="baseline"/>
    </w:pPr>
    <w:rPr>
      <w:rFonts w:ascii="XO Thames" w:eastAsia="XO Thames" w:hAnsi="XO Thames" w:cs="XO Thames"/>
      <w:color w:val="000000"/>
      <w:kern w:val="3"/>
    </w:rPr>
  </w:style>
  <w:style w:type="paragraph" w:customStyle="1" w:styleId="Contents9">
    <w:name w:val="Contents 9"/>
    <w:basedOn w:val="Standard"/>
    <w:next w:val="Standard"/>
    <w:pPr>
      <w:ind w:left="1600"/>
    </w:pPr>
  </w:style>
  <w:style w:type="paragraph" w:customStyle="1" w:styleId="Contents8">
    <w:name w:val="Contents 8"/>
    <w:basedOn w:val="Standard"/>
    <w:next w:val="Standard"/>
    <w:pPr>
      <w:ind w:left="1400"/>
    </w:pPr>
  </w:style>
  <w:style w:type="paragraph" w:customStyle="1" w:styleId="Contents5">
    <w:name w:val="Contents 5"/>
    <w:basedOn w:val="Standard"/>
    <w:next w:val="Standard"/>
    <w:pPr>
      <w:ind w:left="800"/>
    </w:pPr>
  </w:style>
  <w:style w:type="paragraph" w:customStyle="1" w:styleId="Index">
    <w:name w:val="Index"/>
    <w:basedOn w:val="Standard"/>
  </w:style>
  <w:style w:type="paragraph" w:styleId="a6">
    <w:name w:val="List"/>
    <w:basedOn w:val="Textbody"/>
  </w:style>
  <w:style w:type="paragraph" w:styleId="a7">
    <w:name w:val="Revision"/>
    <w:pPr>
      <w:suppressAutoHyphens/>
      <w:overflowPunct w:val="0"/>
      <w:autoSpaceDE w:val="0"/>
      <w:autoSpaceDN w:val="0"/>
      <w:textAlignment w:val="baseline"/>
    </w:pPr>
    <w:rPr>
      <w:color w:val="000000"/>
      <w:kern w:val="3"/>
      <w:sz w:val="24"/>
      <w:szCs w:val="24"/>
    </w:rPr>
  </w:style>
  <w:style w:type="paragraph" w:styleId="a8">
    <w:name w:val="Subtitle"/>
    <w:basedOn w:val="Standard"/>
    <w:next w:val="Standard"/>
    <w:rPr>
      <w:rFonts w:ascii="XO Thames" w:eastAsia="XO Thames" w:hAnsi="XO Thames" w:cs="XO Thames"/>
      <w:i/>
      <w:iCs/>
      <w:color w:val="616161"/>
    </w:rPr>
  </w:style>
  <w:style w:type="paragraph" w:customStyle="1" w:styleId="Contents10">
    <w:name w:val="Contents 10"/>
    <w:basedOn w:val="Standard"/>
    <w:next w:val="Standard"/>
    <w:pPr>
      <w:ind w:left="1800"/>
    </w:pPr>
  </w:style>
  <w:style w:type="paragraph" w:styleId="a9">
    <w:name w:val="Title"/>
    <w:basedOn w:val="Standard"/>
    <w:next w:val="Standard"/>
    <w:rPr>
      <w:rFonts w:ascii="XO Thames" w:eastAsia="XO Thames" w:hAnsi="XO Thames" w:cs="XO Thames"/>
      <w:b/>
      <w:bCs/>
      <w:sz w:val="52"/>
      <w:szCs w:val="52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</w:style>
  <w:style w:type="paragraph" w:styleId="ac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uiPriority w:val="99"/>
  </w:style>
  <w:style w:type="paragraph" w:styleId="ae">
    <w:name w:val="No Spacing"/>
    <w:uiPriority w:val="1"/>
    <w:qFormat/>
    <w:rsid w:val="00C7407A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RTN</Company>
  <LinksUpToDate>false</LinksUpToDate>
  <CharactersWithSpaces>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Василевский Александр Антонович</dc:creator>
  <cp:keywords/>
  <cp:lastModifiedBy>Прудникова Ольга Алексеевна</cp:lastModifiedBy>
  <cp:revision>11</cp:revision>
  <cp:lastPrinted>2022-12-26T12:32:00Z</cp:lastPrinted>
  <dcterms:created xsi:type="dcterms:W3CDTF">2022-12-27T07:08:00Z</dcterms:created>
  <dcterms:modified xsi:type="dcterms:W3CDTF">2023-01-25T11:47:00Z</dcterms:modified>
</cp:coreProperties>
</file>